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00"/>
        <w:gridCol w:w="4295"/>
      </w:tblGrid>
      <w:tr w:rsidR="002F426D" w:rsidRPr="00D358AB" w:rsidTr="009F3F37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26D" w:rsidRPr="00E711F0" w:rsidRDefault="002F426D" w:rsidP="009F3F37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Башкортостан Республикаһы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Шаран районы муниципаль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районыны</w:t>
            </w:r>
            <w:r w:rsidRPr="00E711F0">
              <w:rPr>
                <w:b/>
                <w:bCs/>
                <w:sz w:val="20"/>
              </w:rPr>
              <w:sym w:font="B7Ant" w:char="F0BE"/>
            </w:r>
            <w:r w:rsidRPr="00E711F0">
              <w:rPr>
                <w:b/>
                <w:bCs/>
                <w:sz w:val="20"/>
              </w:rPr>
              <w:t>Писаревоауыл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iCs/>
                <w:sz w:val="20"/>
              </w:rPr>
            </w:pPr>
            <w:r w:rsidRPr="00E711F0">
              <w:rPr>
                <w:b/>
                <w:bCs/>
                <w:iCs/>
                <w:sz w:val="20"/>
              </w:rPr>
              <w:t>биләмәһеХакимите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iCs/>
                <w:sz w:val="20"/>
              </w:rPr>
              <w:t>Башлыгы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  <w:lang w:val="be-BY"/>
              </w:rPr>
              <w:t>45264</w:t>
            </w:r>
            <w:r w:rsidRPr="00E711F0">
              <w:rPr>
                <w:b/>
                <w:bCs/>
                <w:sz w:val="20"/>
              </w:rPr>
              <w:t>4</w:t>
            </w:r>
            <w:r w:rsidRPr="00E711F0">
              <w:rPr>
                <w:b/>
                <w:bCs/>
                <w:sz w:val="20"/>
                <w:lang w:val="be-BY"/>
              </w:rPr>
              <w:t>, Писарево</w:t>
            </w:r>
            <w:r w:rsidRPr="00E711F0">
              <w:rPr>
                <w:b/>
                <w:bCs/>
                <w:sz w:val="20"/>
              </w:rPr>
              <w:t xml:space="preserve">ауылы, 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Мэктэпурамы, 11-йорт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 xml:space="preserve">тел.(34769) 2-34-16  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E711F0">
              <w:rPr>
                <w:b/>
                <w:bCs/>
                <w:sz w:val="20"/>
                <w:lang w:val="en-US"/>
              </w:rPr>
              <w:t xml:space="preserve">email: </w:t>
            </w:r>
            <w:r w:rsidRPr="00E711F0">
              <w:rPr>
                <w:b/>
                <w:sz w:val="20"/>
                <w:lang w:val="en-US"/>
              </w:rPr>
              <w:t>pisarevskyselsovet@yandex.ru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E711F0">
              <w:rPr>
                <w:b/>
                <w:bCs/>
                <w:sz w:val="20"/>
                <w:lang w:val="en-US"/>
              </w:rPr>
              <w:t>https://sp-pisar.ru/</w:t>
            </w:r>
          </w:p>
          <w:p w:rsidR="002F426D" w:rsidRPr="00E711F0" w:rsidRDefault="002F426D" w:rsidP="009F3F37">
            <w:pPr>
              <w:spacing w:after="0"/>
              <w:contextualSpacing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ОКПО 04278117, ОГРН 1020200613498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b/>
                <w:bCs/>
                <w:sz w:val="20"/>
                <w:lang w:val="en-US"/>
              </w:rPr>
            </w:pPr>
            <w:r w:rsidRPr="00E711F0">
              <w:rPr>
                <w:b/>
                <w:bCs/>
                <w:sz w:val="20"/>
              </w:rPr>
              <w:t xml:space="preserve">ИНН/КПП </w:t>
            </w:r>
            <w:r w:rsidRPr="00E711F0">
              <w:rPr>
                <w:b/>
                <w:bCs/>
                <w:sz w:val="20"/>
                <w:lang w:val="en-US"/>
              </w:rPr>
              <w:t>0251000493</w:t>
            </w:r>
            <w:r w:rsidRPr="00E711F0">
              <w:rPr>
                <w:b/>
                <w:bCs/>
                <w:sz w:val="20"/>
              </w:rPr>
              <w:t>/</w:t>
            </w:r>
            <w:r w:rsidRPr="00E711F0">
              <w:rPr>
                <w:b/>
                <w:bCs/>
                <w:sz w:val="20"/>
                <w:lang w:val="en-US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426D" w:rsidRPr="00E711F0" w:rsidRDefault="002F426D" w:rsidP="009F3F37">
            <w:pPr>
              <w:spacing w:after="0"/>
              <w:rPr>
                <w:b/>
                <w:sz w:val="20"/>
                <w:lang w:val="en-US"/>
              </w:rPr>
            </w:pP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822960" cy="1028700"/>
                  <wp:effectExtent l="19050" t="0" r="0" b="0"/>
                  <wp:docPr id="3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Республика Башкортостан</w:t>
            </w:r>
          </w:p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Администрация сельского поселения</w:t>
            </w:r>
          </w:p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Писаревский сельсовет</w:t>
            </w:r>
          </w:p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муниципального района</w:t>
            </w:r>
          </w:p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Шаранский район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 xml:space="preserve">452644, д. Писарево, </w:t>
            </w:r>
          </w:p>
          <w:p w:rsidR="002F426D" w:rsidRPr="00E711F0" w:rsidRDefault="002F426D" w:rsidP="009F3F37">
            <w:pPr>
              <w:spacing w:after="0"/>
              <w:ind w:firstLine="12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>ул. Школьная, 11</w:t>
            </w:r>
          </w:p>
          <w:p w:rsidR="002F426D" w:rsidRPr="00E711F0" w:rsidRDefault="002F426D" w:rsidP="009F3F37">
            <w:pPr>
              <w:spacing w:after="0"/>
              <w:ind w:hanging="163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bCs/>
                <w:sz w:val="20"/>
              </w:rPr>
              <w:t xml:space="preserve">тел. (34769) 2-34-16 </w:t>
            </w:r>
          </w:p>
          <w:p w:rsidR="002F426D" w:rsidRPr="00944272" w:rsidRDefault="002F426D" w:rsidP="009F3F37">
            <w:pPr>
              <w:spacing w:after="0"/>
              <w:ind w:hanging="16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711F0">
              <w:rPr>
                <w:b/>
                <w:bCs/>
                <w:sz w:val="20"/>
                <w:lang w:val="en-US"/>
              </w:rPr>
              <w:t>email</w:t>
            </w:r>
            <w:r w:rsidRPr="00E711F0">
              <w:rPr>
                <w:b/>
                <w:bCs/>
                <w:sz w:val="20"/>
              </w:rPr>
              <w:t xml:space="preserve">: </w:t>
            </w:r>
            <w:hyperlink r:id="rId9" w:history="1">
              <w:r w:rsidRPr="00944272">
                <w:rPr>
                  <w:rStyle w:val="a5"/>
                  <w:b/>
                  <w:bCs/>
                  <w:color w:val="000000" w:themeColor="text1"/>
                  <w:lang w:val="en-US"/>
                </w:rPr>
                <w:t>pisarevskyselsovet</w:t>
              </w:r>
              <w:r w:rsidRPr="00944272">
                <w:rPr>
                  <w:rStyle w:val="a5"/>
                  <w:b/>
                  <w:bCs/>
                  <w:color w:val="000000" w:themeColor="text1"/>
                </w:rPr>
                <w:t>@</w:t>
              </w:r>
              <w:r w:rsidRPr="00944272">
                <w:rPr>
                  <w:rStyle w:val="a5"/>
                  <w:b/>
                  <w:bCs/>
                  <w:color w:val="000000" w:themeColor="text1"/>
                  <w:lang w:val="en-US"/>
                </w:rPr>
                <w:t>yandex</w:t>
              </w:r>
              <w:r w:rsidRPr="00944272">
                <w:rPr>
                  <w:rStyle w:val="a5"/>
                  <w:b/>
                  <w:bCs/>
                  <w:color w:val="000000" w:themeColor="text1"/>
                </w:rPr>
                <w:t>.</w:t>
              </w:r>
              <w:r w:rsidRPr="00944272">
                <w:rPr>
                  <w:rStyle w:val="a5"/>
                  <w:b/>
                  <w:bCs/>
                  <w:color w:val="000000" w:themeColor="text1"/>
                  <w:lang w:val="en-US"/>
                </w:rPr>
                <w:t>ru</w:t>
              </w:r>
            </w:hyperlink>
          </w:p>
          <w:p w:rsidR="002F426D" w:rsidRPr="00944272" w:rsidRDefault="002F426D" w:rsidP="009F3F37">
            <w:pPr>
              <w:spacing w:after="0"/>
              <w:ind w:hanging="16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44272">
              <w:rPr>
                <w:b/>
                <w:bCs/>
                <w:color w:val="000000" w:themeColor="text1"/>
                <w:sz w:val="20"/>
                <w:lang w:val="en-US"/>
              </w:rPr>
              <w:t>https</w:t>
            </w:r>
            <w:r w:rsidRPr="00944272">
              <w:rPr>
                <w:b/>
                <w:bCs/>
                <w:color w:val="000000" w:themeColor="text1"/>
                <w:sz w:val="20"/>
              </w:rPr>
              <w:t>://</w:t>
            </w:r>
            <w:r w:rsidRPr="00944272">
              <w:rPr>
                <w:b/>
                <w:bCs/>
                <w:color w:val="000000" w:themeColor="text1"/>
                <w:sz w:val="20"/>
                <w:lang w:val="en-US"/>
              </w:rPr>
              <w:t>sp</w:t>
            </w:r>
            <w:r w:rsidRPr="00944272">
              <w:rPr>
                <w:b/>
                <w:bCs/>
                <w:color w:val="000000" w:themeColor="text1"/>
                <w:sz w:val="20"/>
              </w:rPr>
              <w:t>-</w:t>
            </w:r>
            <w:r w:rsidRPr="00944272">
              <w:rPr>
                <w:b/>
                <w:bCs/>
                <w:color w:val="000000" w:themeColor="text1"/>
                <w:sz w:val="20"/>
                <w:lang w:val="en-US"/>
              </w:rPr>
              <w:t>pisar</w:t>
            </w:r>
            <w:r w:rsidRPr="00944272">
              <w:rPr>
                <w:b/>
                <w:bCs/>
                <w:color w:val="000000" w:themeColor="text1"/>
                <w:sz w:val="20"/>
              </w:rPr>
              <w:t>.</w:t>
            </w:r>
            <w:r w:rsidRPr="00944272">
              <w:rPr>
                <w:b/>
                <w:bCs/>
                <w:color w:val="000000" w:themeColor="text1"/>
                <w:sz w:val="20"/>
                <w:lang w:val="en-US"/>
              </w:rPr>
              <w:t>ru</w:t>
            </w:r>
            <w:r w:rsidRPr="00944272"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2F426D" w:rsidRPr="00E711F0" w:rsidRDefault="002F426D" w:rsidP="009F3F37">
            <w:pPr>
              <w:spacing w:after="0"/>
              <w:jc w:val="center"/>
              <w:rPr>
                <w:b/>
                <w:bCs/>
                <w:sz w:val="20"/>
              </w:rPr>
            </w:pPr>
            <w:r w:rsidRPr="00E711F0">
              <w:rPr>
                <w:b/>
                <w:sz w:val="20"/>
              </w:rPr>
              <w:t>ОКПО 04278117, ОГРН 1020200613498</w:t>
            </w:r>
          </w:p>
          <w:p w:rsidR="002F426D" w:rsidRPr="00E711F0" w:rsidRDefault="002F426D" w:rsidP="009F3F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b/>
                <w:sz w:val="20"/>
              </w:rPr>
            </w:pPr>
            <w:r w:rsidRPr="00E711F0">
              <w:rPr>
                <w:b/>
                <w:sz w:val="20"/>
              </w:rPr>
              <w:t xml:space="preserve">ИНН/КПП </w:t>
            </w:r>
            <w:r w:rsidRPr="00E711F0">
              <w:rPr>
                <w:b/>
                <w:sz w:val="20"/>
                <w:lang w:val="en-US"/>
              </w:rPr>
              <w:t>0251000493</w:t>
            </w:r>
            <w:r w:rsidRPr="00E711F0">
              <w:rPr>
                <w:b/>
                <w:sz w:val="20"/>
              </w:rPr>
              <w:t>/</w:t>
            </w:r>
            <w:r w:rsidRPr="00E711F0">
              <w:rPr>
                <w:b/>
                <w:sz w:val="20"/>
                <w:lang w:val="en-US"/>
              </w:rPr>
              <w:t xml:space="preserve">025101001 </w:t>
            </w:r>
          </w:p>
        </w:tc>
      </w:tr>
    </w:tbl>
    <w:p w:rsidR="002F426D" w:rsidRDefault="002F426D" w:rsidP="002F426D">
      <w:pPr>
        <w:rPr>
          <w:sz w:val="28"/>
          <w:szCs w:val="28"/>
        </w:rPr>
      </w:pPr>
    </w:p>
    <w:p w:rsidR="0083779B" w:rsidRPr="002B128D" w:rsidRDefault="006A7C95" w:rsidP="002B128D">
      <w:p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83779B"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="0083779B"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</w:t>
      </w:r>
      <w:r w:rsidR="008D26E2">
        <w:rPr>
          <w:rFonts w:ascii="Times New Roman" w:eastAsia="Arial Unicode MS" w:hAnsi="Times New Roman"/>
          <w:b/>
          <w:sz w:val="26"/>
          <w:szCs w:val="26"/>
        </w:rPr>
        <w:t xml:space="preserve">                      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2F426D">
        <w:rPr>
          <w:rFonts w:ascii="Times New Roman" w:eastAsia="Arial Unicode MS" w:hAnsi="Times New Roman"/>
          <w:sz w:val="28"/>
          <w:szCs w:val="28"/>
        </w:rPr>
        <w:t>12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 </w:t>
      </w:r>
      <w:r w:rsidR="002F426D">
        <w:rPr>
          <w:rFonts w:ascii="Times New Roman" w:eastAsia="Arial Unicode MS" w:hAnsi="Times New Roman"/>
          <w:sz w:val="28"/>
          <w:szCs w:val="28"/>
        </w:rPr>
        <w:t xml:space="preserve">январь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</w:t>
      </w:r>
      <w:r w:rsidR="00913DFB">
        <w:rPr>
          <w:rFonts w:ascii="Times New Roman" w:eastAsia="Arial Unicode MS" w:hAnsi="Times New Roman"/>
          <w:sz w:val="28"/>
          <w:szCs w:val="28"/>
        </w:rPr>
        <w:t>2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й.     </w:t>
      </w:r>
      <w:r w:rsidR="008D26E2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№ </w:t>
      </w:r>
      <w:r w:rsidR="002F426D">
        <w:rPr>
          <w:rFonts w:ascii="Times New Roman" w:eastAsia="Arial Unicode MS" w:hAnsi="Times New Roman"/>
          <w:sz w:val="28"/>
          <w:szCs w:val="28"/>
        </w:rPr>
        <w:t>02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8D26E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2F426D">
        <w:rPr>
          <w:rFonts w:ascii="Times New Roman" w:eastAsia="Arial Unicode MS" w:hAnsi="Times New Roman"/>
          <w:sz w:val="28"/>
          <w:szCs w:val="28"/>
        </w:rPr>
        <w:t>12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</w:t>
      </w:r>
      <w:r w:rsidR="002F426D">
        <w:rPr>
          <w:rFonts w:ascii="Times New Roman" w:eastAsia="Arial Unicode MS" w:hAnsi="Times New Roman"/>
          <w:sz w:val="28"/>
          <w:szCs w:val="28"/>
        </w:rPr>
        <w:t>января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</w:t>
      </w:r>
      <w:r w:rsidR="002F426D">
        <w:rPr>
          <w:rFonts w:ascii="Times New Roman" w:eastAsia="Arial Unicode MS" w:hAnsi="Times New Roman"/>
          <w:sz w:val="28"/>
          <w:szCs w:val="28"/>
        </w:rPr>
        <w:t>2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Default="000D58F6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2F426D">
        <w:rPr>
          <w:rFonts w:ascii="Times New Roman" w:hAnsi="Times New Roman"/>
          <w:b/>
          <w:sz w:val="28"/>
          <w:szCs w:val="28"/>
          <w:lang w:eastAsia="ru-RU"/>
        </w:rPr>
        <w:t>Писаревский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 xml:space="preserve">Писаревский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2F426D">
        <w:rPr>
          <w:rFonts w:ascii="Times New Roman" w:hAnsi="Times New Roman"/>
          <w:sz w:val="28"/>
          <w:szCs w:val="28"/>
          <w:lang w:eastAsia="ru-RU"/>
        </w:rPr>
        <w:t>14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сентября 2016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F426D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определения требований к закупаемым 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Шаранский   район Республики </w:t>
      </w:r>
      <w:r w:rsidRPr="006A7C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района Шаранский район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Башкортостан;»;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Администрация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 xml:space="preserve">Писаревский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10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2F426D">
        <w:rPr>
          <w:rFonts w:ascii="Times New Roman" w:hAnsi="Times New Roman"/>
          <w:sz w:val="28"/>
          <w:szCs w:val="28"/>
          <w:lang w:eastAsia="ru-RU"/>
        </w:rPr>
        <w:t xml:space="preserve">Писаревский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закупок.»;</w:t>
      </w:r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D26E2">
        <w:rPr>
          <w:rFonts w:ascii="Times New Roman" w:hAnsi="Times New Roman"/>
          <w:sz w:val="28"/>
          <w:szCs w:val="28"/>
        </w:rPr>
        <w:t>Писаревский</w:t>
      </w:r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11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работников;»;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8D26E2">
          <w:pgSz w:w="11907" w:h="16840" w:code="9"/>
          <w:pgMar w:top="709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8D26E2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8D26E2">
              <w:rPr>
                <w:rFonts w:ascii="Times New Roman" w:hAnsi="Times New Roman"/>
                <w:sz w:val="28"/>
                <w:szCs w:val="28"/>
                <w:lang w:eastAsia="ru-RU"/>
              </w:rPr>
              <w:t>Писаревский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ОКПД2</w:t>
            </w:r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8D26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8D26E2">
              <w:rPr>
                <w:rFonts w:ascii="Times New Roman" w:hAnsi="Times New Roman"/>
                <w:sz w:val="16"/>
                <w:szCs w:val="16"/>
                <w:lang w:eastAsia="ru-RU"/>
              </w:rPr>
              <w:t>Писаревский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8D26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r w:rsidR="008D26E2">
              <w:rPr>
                <w:rFonts w:ascii="Times New Roman" w:hAnsi="Times New Roman"/>
                <w:sz w:val="16"/>
                <w:szCs w:val="16"/>
                <w:lang w:eastAsia="ru-RU"/>
              </w:rPr>
              <w:t>Писаревский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8D26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8D26E2">
              <w:rPr>
                <w:rFonts w:ascii="Times New Roman" w:hAnsi="Times New Roman"/>
                <w:sz w:val="16"/>
                <w:szCs w:val="16"/>
                <w:lang w:eastAsia="ru-RU"/>
              </w:rPr>
              <w:t>Писаревский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r w:rsidRPr="00C07BC7">
              <w:rPr>
                <w:rFonts w:ascii="Times New Roman" w:hAnsi="Times New Roman"/>
                <w:sz w:val="16"/>
                <w:szCs w:val="16"/>
              </w:rPr>
              <w:t>нальное назна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r w:rsidRPr="00C07BC7">
              <w:rPr>
                <w:rFonts w:ascii="Times New Roman" w:hAnsi="Times New Roman"/>
                <w:sz w:val="16"/>
                <w:szCs w:val="16"/>
              </w:rPr>
              <w:t>чение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8D2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8D26E2">
              <w:rPr>
                <w:rFonts w:ascii="Times New Roman" w:hAnsi="Times New Roman"/>
                <w:sz w:val="16"/>
                <w:szCs w:val="16"/>
              </w:rPr>
              <w:t>Писаревский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8D26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8D26E2">
              <w:rPr>
                <w:rFonts w:ascii="Times New Roman" w:hAnsi="Times New Roman"/>
                <w:sz w:val="16"/>
                <w:szCs w:val="16"/>
                <w:lang w:eastAsia="ru-RU"/>
              </w:rPr>
              <w:t>Писаревский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sz w:val="18"/>
          <w:szCs w:val="18"/>
        </w:rPr>
        <w:t>»</w:t>
      </w:r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D26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E427BA" w:rsidP="00E427B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</w:t>
      </w:r>
      <w:r w:rsidR="008D26E2">
        <w:rPr>
          <w:sz w:val="28"/>
          <w:szCs w:val="28"/>
        </w:rPr>
        <w:t xml:space="preserve">                               О.И. Голубева</w:t>
      </w:r>
      <w:r w:rsidRPr="001B655F">
        <w:rPr>
          <w:sz w:val="28"/>
          <w:szCs w:val="28"/>
        </w:rPr>
        <w:t xml:space="preserve"> </w:t>
      </w:r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6C" w:rsidRDefault="00C0416C" w:rsidP="008277C7">
      <w:pPr>
        <w:spacing w:after="0" w:line="240" w:lineRule="auto"/>
      </w:pPr>
      <w:r>
        <w:separator/>
      </w:r>
    </w:p>
  </w:endnote>
  <w:endnote w:type="continuationSeparator" w:id="1">
    <w:p w:rsidR="00C0416C" w:rsidRDefault="00C0416C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6C" w:rsidRDefault="00C0416C" w:rsidP="008277C7">
      <w:pPr>
        <w:spacing w:after="0" w:line="240" w:lineRule="auto"/>
      </w:pPr>
      <w:r>
        <w:separator/>
      </w:r>
    </w:p>
  </w:footnote>
  <w:footnote w:type="continuationSeparator" w:id="1">
    <w:p w:rsidR="00C0416C" w:rsidRDefault="00C0416C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2F426D"/>
    <w:rsid w:val="003364AD"/>
    <w:rsid w:val="0034228A"/>
    <w:rsid w:val="003473D1"/>
    <w:rsid w:val="00376D04"/>
    <w:rsid w:val="003D6247"/>
    <w:rsid w:val="00410864"/>
    <w:rsid w:val="0047780C"/>
    <w:rsid w:val="004C28DC"/>
    <w:rsid w:val="004D5F12"/>
    <w:rsid w:val="004F3AF2"/>
    <w:rsid w:val="00531BE2"/>
    <w:rsid w:val="005573ED"/>
    <w:rsid w:val="005A0E7F"/>
    <w:rsid w:val="005F06C5"/>
    <w:rsid w:val="00646C56"/>
    <w:rsid w:val="006A7C95"/>
    <w:rsid w:val="006B05A6"/>
    <w:rsid w:val="00710FC1"/>
    <w:rsid w:val="0076642D"/>
    <w:rsid w:val="00787252"/>
    <w:rsid w:val="007B7D63"/>
    <w:rsid w:val="00806684"/>
    <w:rsid w:val="008277C7"/>
    <w:rsid w:val="0083779B"/>
    <w:rsid w:val="008661FF"/>
    <w:rsid w:val="00890A08"/>
    <w:rsid w:val="008D26E2"/>
    <w:rsid w:val="008E40A6"/>
    <w:rsid w:val="008F279E"/>
    <w:rsid w:val="0090142D"/>
    <w:rsid w:val="00913DFB"/>
    <w:rsid w:val="00944272"/>
    <w:rsid w:val="009469CF"/>
    <w:rsid w:val="009E439C"/>
    <w:rsid w:val="00A77220"/>
    <w:rsid w:val="00A77FC1"/>
    <w:rsid w:val="00AB4664"/>
    <w:rsid w:val="00AC398E"/>
    <w:rsid w:val="00B331EA"/>
    <w:rsid w:val="00B61A35"/>
    <w:rsid w:val="00BD3A17"/>
    <w:rsid w:val="00C0416C"/>
    <w:rsid w:val="00C07BC7"/>
    <w:rsid w:val="00C219A9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D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6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evskyselsov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2443-B76F-4ED4-925D-AD9015F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4</cp:revision>
  <cp:lastPrinted>2022-01-17T12:04:00Z</cp:lastPrinted>
  <dcterms:created xsi:type="dcterms:W3CDTF">2022-01-17T04:09:00Z</dcterms:created>
  <dcterms:modified xsi:type="dcterms:W3CDTF">2022-01-18T06:26:00Z</dcterms:modified>
</cp:coreProperties>
</file>