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99394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Приложение №1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аукционе </w:t>
      </w:r>
      <w:proofErr w:type="gramStart"/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 заключения договора аренды земельного участка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(типовая форма, заполняется в двух экземплярах)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- физическое лицо, юридическое лицо, индивидуальный предприниматель (нужное подчеркнуть)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ФИО/Наименование претендента ______________________________________________    ___________________________________________________________________________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физических лиц и индивидуальных предпринимателей: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________серия __________, № ______________, </w:t>
      </w:r>
      <w:proofErr w:type="gramStart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  _________ г. 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     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</w:t>
      </w:r>
      <w:proofErr w:type="gram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рождения________________________________ телефон 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регистрации ________________________________________________________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проживания_________________________________________________________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индивидуальных предпринимателей: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 ОГРН 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_____________________________________________________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юридических лиц: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 государственной регистрации в качестве юридического лица ____________ ___________________________________________________________________________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внесении в Единый государственный реестр от __________________</w:t>
      </w:r>
      <w:proofErr w:type="gramStart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регистрационный номер 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регистрация изменений, внесенных в учредительные документы 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ФИО руководителя________________________________________________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 ____________________________________________________ ___________________________________________________________________________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 _________________________________________________________ ______________________________________________________________________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ИНН___________________________ КПП ______________________________ 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________________________ Факс 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Банковские реквизиты претендента</w:t>
      </w: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(реквизиты для возврата задатка - для физических лиц):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 счет №__________________________________________________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лицевой счет  №____________________________________________________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в_________________________________________________________________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корр. счет № ______________________________ БИК ____________________ 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банка ___________________ КПП банка  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претендента 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на основании доверенности № ____________  серия ____________,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удостоверенной</w:t>
      </w:r>
      <w:proofErr w:type="gramEnd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«______» ___________________ 20____ г.  </w:t>
      </w:r>
    </w:p>
    <w:p w:rsidR="0099394D" w:rsidRPr="0099394D" w:rsidRDefault="00C1070A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(кем)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доверенного лица __________________________ ___________________________________________________________________________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документа, серия, номер, дата, кем выдан)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принимая решение об участии в аукционе на право заключения договора аренды земельного участка, расположенного по адресу: _________________________________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__________________________________________________________________________, 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 номером __________________________, площадью _____________</w:t>
      </w:r>
      <w:proofErr w:type="spellStart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состоянием земельного участка и технической документацией к нему </w:t>
      </w:r>
      <w:proofErr w:type="gramStart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___________________________________________________________________________ 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расшифровка)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обязуемся:</w:t>
      </w:r>
    </w:p>
    <w:p w:rsidR="00C1070A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Соблюдать  порядок и условия участия в аукционе, определенные информационным сообщением о проведен</w:t>
      </w:r>
      <w:proofErr w:type="gramStart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кциона, опубликованным на сайте </w:t>
      </w:r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http://torgi.gov.ru/, https://</w:t>
      </w:r>
      <w:r w:rsidR="00C1070A" w:rsidRPr="00C1070A">
        <w:t xml:space="preserve"> </w:t>
      </w:r>
      <w:proofErr w:type="spellStart"/>
      <w:r w:rsidR="00C1070A" w:rsidRPr="00C1070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sp</w:t>
      </w:r>
      <w:proofErr w:type="spellEnd"/>
      <w:r w:rsidR="00C1070A" w:rsidRPr="00C10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spellStart"/>
      <w:r w:rsidR="00C1070A" w:rsidRPr="00C1070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pisar</w:t>
      </w:r>
      <w:proofErr w:type="spellEnd"/>
      <w:r w:rsidR="00C1070A" w:rsidRPr="00C10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="00C1070A" w:rsidRPr="00C1070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C1070A" w:rsidRPr="00C10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proofErr w:type="spellStart"/>
      <w:r w:rsidR="00C1070A" w:rsidRPr="00C10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sharan-sp.ru</w:t>
      </w:r>
      <w:r w:rsidR="00C10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https</w:t>
      </w:r>
      <w:proofErr w:type="spellEnd"/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://sharan.bashkortostan.ru/,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https://mzio.bashkortostan.ru/.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случае признания победителем аукциона: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подписать и представить организатору аукциона договор аренды земельного участка в срок не позднее 30 (тридцати) дней со дня </w:t>
      </w:r>
      <w:proofErr w:type="gramStart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проектов договоров аренды земельного участка</w:t>
      </w:r>
      <w:proofErr w:type="gramEnd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оплатить за первый год размер аренды земельного участка по договору аренды, заключенному по результатам торгов на право заключения договора аренды земельного участка,  единовременным платежом (за вычетом суммы внесенного для участия в аукционе </w:t>
      </w:r>
      <w:r w:rsidRPr="0099394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задатка, который засчитывается в сумму размера аренды земельного участка по договору аренды)</w:t>
      </w: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(десяти) рабочих дней со дня заключения договора аренды;</w:t>
      </w:r>
      <w:proofErr w:type="gramEnd"/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- 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– оплатить единовременным платежом размер арендной платы земельного участка за первый год (за вычетом суммы внесенного для участия в аукционе задатка, который засчитывается в сумму цены по договору аренды) в течение 10 (десяти) дней со дня заключения договора аренды.</w:t>
      </w:r>
      <w:proofErr w:type="gramEnd"/>
    </w:p>
    <w:p w:rsidR="0099394D" w:rsidRPr="0099394D" w:rsidRDefault="0099394D" w:rsidP="00C1070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известно обо всех условиях аукциона, предусмотренных информационным сообщением, опубликованным на сайте </w:t>
      </w:r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http://torgi.gov.ru/, https://</w:t>
      </w:r>
      <w:r w:rsidR="00C1070A" w:rsidRPr="00C1070A">
        <w:t xml:space="preserve"> </w:t>
      </w:r>
      <w:r w:rsidR="00C1070A" w:rsidRPr="00C10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sp-pisar.ru//sharan-sp.ru</w:t>
      </w:r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/,https://sharan.bashkortostan.ru/, https://mzio.bashkortostan.ru/.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Настоящей заявкой Претендент подтверждает свое согласие на выполнение указанных условий и требований.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Претендент ознакомлен со всеми сведениями о предмете аукциона и </w:t>
      </w:r>
      <w:proofErr w:type="gramStart"/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документами, касающимися проведения аукциона на право заключения договора аренды земельного участка и претензий не имеет</w:t>
      </w:r>
      <w:proofErr w:type="gramEnd"/>
      <w:r w:rsidRPr="00993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Достоверность и полноту сведений, указанных в заявлении, подтверждаю, даю согласие на обработку и передачу моих персональных данных в уполномоченные органы согласно Федеральному закону от 27.07.2006 № 152-ФЗ «О персональных данных».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Претендента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)   ______________ (___________________)</w:t>
      </w:r>
      <w:proofErr w:type="gramEnd"/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М.П.                                                                                 "___" ___________ 202__г.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принята: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 202__г.  ___ ч. ___ мин. под № __________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99394D" w:rsidRPr="0099394D" w:rsidRDefault="0099394D" w:rsidP="0099394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3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прием заявок: </w:t>
      </w:r>
      <w:r w:rsidRPr="0099394D">
        <w:rPr>
          <w:rFonts w:ascii="Courier New" w:eastAsia="Times New Roman" w:hAnsi="Courier New" w:cs="Courier New"/>
          <w:sz w:val="26"/>
          <w:szCs w:val="26"/>
          <w:lang w:eastAsia="ru-RU"/>
        </w:rPr>
        <w:t>_________________(_______________)</w:t>
      </w:r>
      <w:proofErr w:type="gramEnd"/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99394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Приложение №2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аренды № ____-21-42 </w:t>
      </w:r>
      <w:proofErr w:type="spellStart"/>
      <w:r w:rsidRPr="00993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зем</w:t>
      </w:r>
      <w:proofErr w:type="spellEnd"/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государственной собственности земельного участка 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956"/>
        <w:gridCol w:w="3630"/>
        <w:gridCol w:w="3602"/>
      </w:tblGrid>
      <w:tr w:rsidR="0099394D" w:rsidRPr="0099394D" w:rsidTr="006C5538">
        <w:tc>
          <w:tcPr>
            <w:tcW w:w="2956" w:type="dxa"/>
            <w:vAlign w:val="center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Шаран</w:t>
            </w:r>
          </w:p>
        </w:tc>
        <w:tc>
          <w:tcPr>
            <w:tcW w:w="3630" w:type="dxa"/>
            <w:vAlign w:val="center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 «____»__________________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9394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99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94D" w:rsidRPr="0099394D" w:rsidRDefault="00324137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Территориальный отдел</w:t>
      </w:r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земельных и имущественных отношений Республики Башкортостан по </w:t>
      </w:r>
      <w:proofErr w:type="spellStart"/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Шаранскому</w:t>
      </w:r>
      <w:proofErr w:type="spellEnd"/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району, ИНН </w:t>
      </w:r>
      <w:r w:rsidRPr="0099394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0274045532</w:t>
      </w:r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00000</w:t>
      </w:r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ОГРН 0000000000000, расположенный по адресу: Республика Башкортостан, </w:t>
      </w:r>
      <w:proofErr w:type="spellStart"/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Шаранский</w:t>
      </w:r>
      <w:proofErr w:type="spellEnd"/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Шаран, ул. Центральная, д. 14, в лице __________________________________, действующего на основании ______________________________, именуемый в дальнейшем «Арендодатель», с одной стороны, и ______________, 00.00.0000 года рождения, паспорт 00 00 000000, выдан 00.00.0000 года Отделением УФМС России по Республике Башкортостан в </w:t>
      </w:r>
      <w:proofErr w:type="spellStart"/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Шаранском</w:t>
      </w:r>
      <w:proofErr w:type="spellEnd"/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районе, код подразделения 020-0000, зарегистрированный по адресу: </w:t>
      </w:r>
      <w:proofErr w:type="gramStart"/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Россия, Республика Башкортостан, </w:t>
      </w:r>
      <w:proofErr w:type="spellStart"/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Шаранский</w:t>
      </w:r>
      <w:proofErr w:type="spellEnd"/>
      <w:r w:rsidR="0099394D"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Шаран, ул. _____, д. ____, с другой стороны, именуемый в дальнейшем «Арендатор», заключили настоящий договор (далее - Договор) о нижеследующем:</w:t>
      </w:r>
      <w:proofErr w:type="gramEnd"/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99394D" w:rsidRPr="0099394D" w:rsidRDefault="0099394D" w:rsidP="00324137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приказа </w:t>
      </w:r>
      <w:r w:rsidR="0032413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 отдела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земельных и имущественных отношений Республики Башкортостан по </w:t>
      </w:r>
      <w:proofErr w:type="spell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Шаранскому</w:t>
      </w:r>
      <w:proofErr w:type="spellEnd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 от _________ № ____, протокола рассмотрения заявок </w:t>
      </w:r>
      <w:r w:rsidR="00324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(аукциона) 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участие в открытом аукционе № ___ от 00.00.2021 года Арендодатель предоставляет, а Арендатор принимает в аренду земельный участок из земель </w:t>
      </w:r>
      <w:r w:rsidR="00C107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находящийся по адресу (имеющий адресные ориентиры</w:t>
      </w:r>
      <w:r w:rsidR="00324137" w:rsidRPr="00324137">
        <w:t xml:space="preserve"> </w:t>
      </w:r>
      <w:r w:rsidR="00C107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кадастровый номер </w:t>
      </w:r>
      <w:r w:rsidR="00C107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разрешенное использование: </w:t>
      </w:r>
      <w:r w:rsidR="00C1070A">
        <w:rPr>
          <w:rFonts w:ascii="Times New Roman" w:hAnsi="Times New Roman"/>
        </w:rPr>
        <w:t>_______________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C107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м.</w:t>
      </w:r>
      <w:r w:rsidR="00682053">
        <w:rPr>
          <w:rFonts w:ascii="Times New Roman" w:hAnsi="Times New Roman"/>
        </w:rPr>
        <w:t>.</w:t>
      </w:r>
      <w:proofErr w:type="gramEnd"/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На Участке объек</w:t>
      </w:r>
      <w:proofErr w:type="gram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ы) недвижимого имущества отсутствуют.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Участок обременен: нет обременений. 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Приведенное описание целей использования Участка является окончательным. 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Договор аренды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Срок действия Договора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Срок действия настоящего Договора устанавливается с 00.0</w:t>
      </w:r>
      <w:r w:rsidR="006820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.2021 г.  по 00.0</w:t>
      </w:r>
      <w:r w:rsidR="006820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.2031 г.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В соответствии со ст.425 Гражданского кодекса РФ условия настоящего Договора распространяются на отношения, фактически возникшие между Сторонами с 00.0</w:t>
      </w:r>
      <w:r w:rsidR="006820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.2021 г.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Новый договор аренды земельного участка может быть заключен без проведения торгов в случаях, установленных частью 3 статьи 39.6 Земельного кодекса Российской Федерации и при наличии в совокупности условий, перечисленных в части 4 статьи 39.6 данного Закона. При отсутствии указанных случаев, а также перечисленных условий, Арендатор не имеет права на заключение нового договора аренды без проведения торгов.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Размер и условия внесения арендной платы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Размер ежегодной арендной платы за Участок установлен по результатам аукциона.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Арендная плата начисляется с 00.0</w:t>
      </w:r>
      <w:r w:rsidR="006820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.2021 г.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Размер арендной платы за земельный участок за текущий год производится единовременным платежом (за вычетом суммы внесенного для участия в аукционе задатка, который засчитывается в сумму размера аренды земельного участка по договору аренды) в течение 10 (десяти) рабочих дней со дня заключения договора аренды.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Размер ежегодной арендной платы установлен по результатам аукциона на весь период действия договора аренды. Размер ежегодной арендной платы может пересматриваться Арендодателем в одностороннем порядке, в случаях, предусмотренных правовыми актами РФ и РБ. При этом составляется новый расчет арендной платы на текущий год.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Арендатор вносит арендную плату за последующие годы ежеквартально равными долями от начисленной суммы в срок до 15 февраля, 15 мая, 15 августа, 15 ноября путем перечисления на счет Управления  федерального  казначейства по  РБ по соответствующим платежным реквизитам, указанным в Расчете.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Исполнением обязательства по внесению арендной платы является перечисление арендной платы на расчетный счет. 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Арендатор ежегодно не позднее 15 февраля обязан обращаться к Арендодателю для получения Расчета и уточнения реквизитов для перечисления арендной платы.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Неиспользование Арендатором Участка не является основанием для невнесения арендной платы.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Сторон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Арендодатель имеет право: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4.1.1. </w:t>
      </w:r>
      <w:proofErr w:type="gram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Требовать досрочного расторжения настоящего Договора в случаях и в порядке, предусмотренном действующим законодательством и настоящим Договором, в том числе при использовании земельного участка не </w:t>
      </w: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среде, </w:t>
      </w:r>
      <w:hyperlink r:id="rId6" w:anchor="/document-relations/12124624/1/0/45213" w:history="1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порче земель, при невнесении арендатором более двух раз подряд арендной платы по истечении установленных договором сроков</w:t>
      </w:r>
      <w:proofErr w:type="gramEnd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платежа.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Арендодатель обязан: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Выполнять в полном объеме все условия Договора.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4.2.4. </w:t>
      </w:r>
      <w:proofErr w:type="gram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Нести другие обязанности</w:t>
      </w:r>
      <w:proofErr w:type="gramEnd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предусмотренные законодательством РФ.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Арендатор имеет право: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Использовать Участок на условиях, установленных Договором.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Осуществлять строительство объектов недвижимого имущества – зданий, строений, сооружений,  инженерной инфраструктуры, необходимой для обслуживания данных объектов недвижимого имущества, при наличии утвержденной в установленном порядке проектно-сметной документации и получения разрешения на их строительство.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5.3.3. </w:t>
      </w:r>
      <w:proofErr w:type="gram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срока договора аренды земельного участка, если иное не установлено федеральными законами, передавать свои права и обязанности по настоящему Договору третьему лицу, в том числе права и обязанности, указанные в пунктах 5 и 6 статьи 22 Земельного кодекса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99394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2001 г</w:t>
        </w:r>
      </w:smartTag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. N 136-ФЗ, без согласия арендодателя при условии его уведомления.</w:t>
      </w:r>
      <w:proofErr w:type="gramEnd"/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Арендатор обязан: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4.4.1. Выполнять в полном объеме все условия Договора.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4.4.3. Уплачивать в размере и на условиях, установленных Договором, арендную плату.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4.4.7. Своевременно приступить к освоению земельного участка.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4.4.8. Строительство и ввод в эксплуатацию объектов недвижимого имущества – зданий, строений, сооружений, инженерной инфраструктуры, благоустройство земель общего пользования производить в установленном порядке, за свой счет, при условии наличия утвержденной в установленном порядке проектно-сметной документации и получения разрешения на строительство согласно действующему законодательству. 3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4.4.9. Строительные работы на земельном участке производить в соответствии со схемой планировочной организации земельного участка, согласованной в установленном порядке согласно действующему законодательству.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Арендодатель и Арендатор имеют иные права и </w:t>
      </w:r>
      <w:proofErr w:type="gram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иные обязанности</w:t>
      </w:r>
      <w:proofErr w:type="gramEnd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установленные законодательством Российской Федерации. 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исполнения </w:t>
      </w:r>
      <w:proofErr w:type="gram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</w:t>
      </w:r>
      <w:proofErr w:type="gramEnd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Федерации. 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стопятидесятой</w:t>
      </w:r>
      <w:proofErr w:type="spellEnd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 случае нарушения сроков возврата арендованного Участка Арендатор уплачивает пени за каждый день просрочки в размере 0,1% от суммы платежей за истекший расчетный период.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Изменение, расторжение и прекращение Договора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 дополнения к Договору оформляются Сторонами в письменной форме.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Договор </w:t>
      </w:r>
      <w:proofErr w:type="gram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требованию Арендодателя по решению суда на основании и в порядке, установленном действующим законодательством.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Истечение срока действия Договора влечет за собой его прекращение.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6.4.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Настоящий Договор </w:t>
      </w:r>
      <w:proofErr w:type="gramStart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Рассмотрение и урегулирование споров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Федерации, по месту нахождения земельного участка.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94D" w:rsidRPr="0099394D" w:rsidRDefault="0099394D" w:rsidP="0099394D">
      <w:pPr>
        <w:keepNext/>
        <w:numPr>
          <w:ilvl w:val="0"/>
          <w:numId w:val="1"/>
        </w:numPr>
        <w:suppressLineNumbers/>
        <w:tabs>
          <w:tab w:val="left" w:pos="540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Особые условия договора 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Акт приема – передачи оформляется в виде приложения к Договору аренды и является его неотъемлемой частью.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 и направляется Арендодателю для последующего учета.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8.3. Срок действия договора субаренды не может превышать срок действия Договора.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При досрочном расторжении Договора договор субаренды земельного участка прекращает свое действие.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>8.6. В случае изменения адресных данных, проектных решений, данных документов личного хранения, арендатор обязан уведомить об этом арендодателя.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8.7. Расходы по государственной регистрации Договора, а также изменений и дополнений к нему возлагаются на Арендатора. </w:t>
      </w:r>
    </w:p>
    <w:p w:rsidR="0099394D" w:rsidRPr="0099394D" w:rsidRDefault="0099394D" w:rsidP="0099394D">
      <w:pPr>
        <w:keepNext/>
        <w:suppressLineNumbers/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8.8.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99394D" w:rsidRPr="0099394D" w:rsidRDefault="0099394D" w:rsidP="0099394D">
      <w:pPr>
        <w:keepNext/>
        <w:numPr>
          <w:ilvl w:val="0"/>
          <w:numId w:val="1"/>
        </w:numPr>
        <w:suppressLineNumbers/>
        <w:tabs>
          <w:tab w:val="clear" w:pos="360"/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Сторон</w:t>
      </w:r>
    </w:p>
    <w:tbl>
      <w:tblPr>
        <w:tblW w:w="10422" w:type="dxa"/>
        <w:tblLook w:val="0000" w:firstRow="0" w:lastRow="0" w:firstColumn="0" w:lastColumn="0" w:noHBand="0" w:noVBand="0"/>
      </w:tblPr>
      <w:tblGrid>
        <w:gridCol w:w="5148"/>
        <w:gridCol w:w="5274"/>
      </w:tblGrid>
      <w:tr w:rsidR="0099394D" w:rsidRPr="0099394D" w:rsidTr="006C5538">
        <w:tc>
          <w:tcPr>
            <w:tcW w:w="5148" w:type="dxa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Арендодатель:</w:t>
            </w:r>
          </w:p>
        </w:tc>
        <w:tc>
          <w:tcPr>
            <w:tcW w:w="5274" w:type="dxa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Арендатор:</w:t>
            </w:r>
          </w:p>
        </w:tc>
      </w:tr>
      <w:tr w:rsidR="0099394D" w:rsidRPr="0099394D" w:rsidTr="006C5538">
        <w:trPr>
          <w:trHeight w:val="517"/>
        </w:trPr>
        <w:tc>
          <w:tcPr>
            <w:tcW w:w="5148" w:type="dxa"/>
          </w:tcPr>
          <w:p w:rsidR="0099394D" w:rsidRPr="0099394D" w:rsidRDefault="0068205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Территориальный отдел</w:t>
            </w:r>
            <w:r w:rsidR="0099394D"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Министерства земельных и имущественных отношений Республики Башкортостан по </w:t>
            </w:r>
            <w:proofErr w:type="spellStart"/>
            <w:r w:rsidR="0099394D"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Шаранскому</w:t>
            </w:r>
            <w:proofErr w:type="spellEnd"/>
            <w:r w:rsidR="0099394D"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району</w:t>
            </w:r>
          </w:p>
        </w:tc>
        <w:tc>
          <w:tcPr>
            <w:tcW w:w="5274" w:type="dxa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Иванов Иван Иванович</w:t>
            </w:r>
          </w:p>
        </w:tc>
      </w:tr>
      <w:tr w:rsidR="0099394D" w:rsidRPr="0099394D" w:rsidTr="006C5538">
        <w:tc>
          <w:tcPr>
            <w:tcW w:w="5148" w:type="dxa"/>
          </w:tcPr>
          <w:p w:rsidR="0099394D" w:rsidRPr="0099394D" w:rsidRDefault="00682053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</w:t>
            </w:r>
            <w:r w:rsidR="0099394D"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452630, Республика Башкортостан, </w:t>
            </w:r>
            <w:proofErr w:type="spellStart"/>
            <w:r w:rsidR="0099394D"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Шаранский</w:t>
            </w:r>
            <w:proofErr w:type="spellEnd"/>
            <w:r w:rsidR="0099394D"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Шаран, ул. Центральная, д. 14</w:t>
            </w:r>
            <w:proofErr w:type="gramEnd"/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Тел: (34769) 2-24-23</w:t>
            </w:r>
          </w:p>
        </w:tc>
        <w:tc>
          <w:tcPr>
            <w:tcW w:w="5274" w:type="dxa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Россия, Республика Башкортостан, </w:t>
            </w:r>
            <w:proofErr w:type="spellStart"/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Шаранский</w:t>
            </w:r>
            <w:proofErr w:type="spellEnd"/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Шаран, ул. </w:t>
            </w:r>
            <w:proofErr w:type="gramStart"/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Дорожная</w:t>
            </w:r>
            <w:proofErr w:type="gramEnd"/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30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8(34769) 2-00-00</w:t>
            </w:r>
          </w:p>
        </w:tc>
      </w:tr>
      <w:tr w:rsidR="0099394D" w:rsidRPr="0099394D" w:rsidTr="006C5538">
        <w:tc>
          <w:tcPr>
            <w:tcW w:w="5148" w:type="dxa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Арендодателя________________________ 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(Подпись)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274" w:type="dxa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Арендатора:_____________________ И.И. Иванов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(Подпись)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94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Приложения к Договору: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94D">
        <w:rPr>
          <w:rFonts w:ascii="Times New Roman" w:eastAsia="Times New Roman" w:hAnsi="Times New Roman" w:cs="Times New Roman"/>
          <w:sz w:val="18"/>
          <w:szCs w:val="18"/>
          <w:lang w:eastAsia="ru-RU"/>
        </w:rPr>
        <w:t>1) Акт приема передачи земельного участка.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99394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lastRenderedPageBreak/>
        <w:t>Приложение №</w:t>
      </w:r>
      <w:r w:rsidRPr="0099394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3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 передачи земельного участка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956"/>
        <w:gridCol w:w="6512"/>
      </w:tblGrid>
      <w:tr w:rsidR="0099394D" w:rsidRPr="0099394D" w:rsidTr="006C5538">
        <w:tc>
          <w:tcPr>
            <w:tcW w:w="2956" w:type="dxa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</w:t>
            </w:r>
            <w:proofErr w:type="spellEnd"/>
          </w:p>
        </w:tc>
        <w:tc>
          <w:tcPr>
            <w:tcW w:w="6512" w:type="dxa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ind w:left="7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“_____” 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939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394D" w:rsidRPr="0099394D" w:rsidRDefault="00682053" w:rsidP="0099394D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отдел</w:t>
      </w:r>
      <w:r w:rsidR="0099394D"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 по </w:t>
      </w:r>
      <w:proofErr w:type="spellStart"/>
      <w:r w:rsidR="0099394D"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Шаранскому</w:t>
      </w:r>
      <w:proofErr w:type="spellEnd"/>
      <w:r w:rsidR="0099394D"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ИНН ____________, КПП _________, ОГРН ____________, расположенный по адресу: </w:t>
      </w:r>
      <w:proofErr w:type="gramStart"/>
      <w:r w:rsidR="0099394D"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99394D"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="0099394D"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Шаран, ул. Центральная, д. 14, в лице _____________________________________________________, действующего на основании __________________________________________________, передает, а ____________________ _________________________________________________________________, принимает земельный участок из категории земель ______________________________, с кадастровым номером 02:53:________________, находящийся по адресу:</w:t>
      </w:r>
      <w:proofErr w:type="gramEnd"/>
      <w:r w:rsidR="0099394D"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Башкортостан, </w:t>
      </w:r>
      <w:proofErr w:type="spellStart"/>
      <w:r w:rsidR="0099394D"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="0099394D"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_______________________________________, разрешенное использование</w:t>
      </w:r>
      <w:proofErr w:type="gramStart"/>
      <w:r w:rsidR="0099394D"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«______________________________________», </w:t>
      </w:r>
      <w:proofErr w:type="gramEnd"/>
      <w:r w:rsidR="0099394D"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кв. м. 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подтверждает отсутствие у принимающей стороны претензий касающихся состояния и качества передаваемого Участка.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претензий друг к другу не имеют.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трех экземплярах, имеющих одинаковую юридическую силу.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99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СДАЛ</w:t>
      </w:r>
      <w:proofErr w:type="gramEnd"/>
      <w:r w:rsidRPr="0099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9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ПРИНЯЛ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tbl>
      <w:tblPr>
        <w:tblW w:w="9853" w:type="dxa"/>
        <w:tblLook w:val="0000" w:firstRow="0" w:lastRow="0" w:firstColumn="0" w:lastColumn="0" w:noHBand="0" w:noVBand="0"/>
      </w:tblPr>
      <w:tblGrid>
        <w:gridCol w:w="4926"/>
        <w:gridCol w:w="4927"/>
      </w:tblGrid>
      <w:tr w:rsidR="0099394D" w:rsidRPr="0099394D" w:rsidTr="006C5538">
        <w:tc>
          <w:tcPr>
            <w:tcW w:w="4926" w:type="dxa"/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Арендодатель</w:t>
            </w:r>
          </w:p>
        </w:tc>
        <w:tc>
          <w:tcPr>
            <w:tcW w:w="4927" w:type="dxa"/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99394D" w:rsidRPr="0099394D" w:rsidTr="006C5538">
        <w:tc>
          <w:tcPr>
            <w:tcW w:w="4926" w:type="dxa"/>
            <w:shd w:val="clear" w:color="auto" w:fill="auto"/>
          </w:tcPr>
          <w:p w:rsidR="0099394D" w:rsidRPr="0099394D" w:rsidRDefault="00682053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8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</w:t>
            </w:r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94D"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земельных и имущественных отношений Республики Башкортостан по </w:t>
            </w:r>
            <w:proofErr w:type="spellStart"/>
            <w:r w:rsidR="0099394D"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Шаранскому</w:t>
            </w:r>
            <w:proofErr w:type="spellEnd"/>
            <w:r w:rsidR="0099394D"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927" w:type="dxa"/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99394D" w:rsidRPr="0099394D" w:rsidTr="006C5538">
        <w:tc>
          <w:tcPr>
            <w:tcW w:w="4926" w:type="dxa"/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4D" w:rsidRPr="0099394D" w:rsidTr="006C5538">
        <w:tc>
          <w:tcPr>
            <w:tcW w:w="4926" w:type="dxa"/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 w:rsidRPr="00993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</w:t>
            </w:r>
          </w:p>
        </w:tc>
      </w:tr>
    </w:tbl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94D" w:rsidRDefault="0099394D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2053" w:rsidRPr="0099394D" w:rsidRDefault="00682053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99394D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Приложение №</w:t>
      </w:r>
      <w:r w:rsidRPr="0099394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</w:t>
      </w:r>
    </w:p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2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820"/>
        <w:gridCol w:w="1821"/>
        <w:gridCol w:w="1821"/>
        <w:gridCol w:w="292"/>
        <w:gridCol w:w="304"/>
        <w:gridCol w:w="304"/>
        <w:gridCol w:w="304"/>
        <w:gridCol w:w="305"/>
        <w:gridCol w:w="304"/>
        <w:gridCol w:w="8"/>
        <w:gridCol w:w="296"/>
        <w:gridCol w:w="304"/>
        <w:gridCol w:w="236"/>
        <w:gridCol w:w="373"/>
        <w:gridCol w:w="304"/>
        <w:gridCol w:w="308"/>
      </w:tblGrid>
      <w:tr w:rsidR="0099394D" w:rsidRPr="0099394D" w:rsidTr="006C5538">
        <w:trPr>
          <w:trHeight w:val="1170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Извещение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Кассир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Получатель платежа: </w:t>
            </w: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Министерство финансов РБ (</w:t>
            </w:r>
            <w:proofErr w:type="spellStart"/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Минземимущество</w:t>
            </w:r>
            <w:proofErr w:type="spellEnd"/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РБ)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gramEnd"/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сч</w:t>
            </w:r>
            <w:proofErr w:type="spellEnd"/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05110110010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r w:rsidRPr="009939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0274045532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03222643800000000100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банка: </w:t>
            </w: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ОТДЕЛЕНИЕ - НБ РЕСПУБЛИКА БАШКОРТОСТАН БАНКА РОССИИ//УФК по Республике Башкортостан г. Уфа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БИК: </w:t>
            </w: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018073401     </w:t>
            </w: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КПП: </w:t>
            </w:r>
            <w:r w:rsidRPr="009939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027401001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Кор. счет</w:t>
            </w:r>
            <w:proofErr w:type="gramEnd"/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40102810045370000067</w:t>
            </w:r>
          </w:p>
        </w:tc>
      </w:tr>
      <w:tr w:rsidR="0099394D" w:rsidRPr="0099394D" w:rsidTr="006C5538">
        <w:trPr>
          <w:trHeight w:val="270"/>
        </w:trPr>
        <w:tc>
          <w:tcPr>
            <w:tcW w:w="19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платежа: </w:t>
            </w: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Задаток для участия в аукционе № _____ от ______________2021 г. Без НДС</w:t>
            </w:r>
          </w:p>
        </w:tc>
      </w:tr>
      <w:tr w:rsidR="0099394D" w:rsidRPr="0099394D" w:rsidTr="00682053">
        <w:trPr>
          <w:trHeight w:val="70"/>
        </w:trPr>
        <w:tc>
          <w:tcPr>
            <w:tcW w:w="19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DE2EA6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КБК: </w:t>
            </w: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00000000000000000 </w:t>
            </w:r>
            <w:r w:rsidR="00DE2E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  <w:bookmarkStart w:id="1" w:name="_GoBack"/>
            <w:bookmarkEnd w:id="1"/>
            <w:r w:rsidRPr="009939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                                            </w:t>
            </w: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394D" w:rsidRPr="0099394D" w:rsidTr="006C5538">
        <w:trPr>
          <w:trHeight w:val="220"/>
        </w:trPr>
        <w:tc>
          <w:tcPr>
            <w:tcW w:w="19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Плательщик (ФИО)_________________________________________________________________________________</w:t>
            </w:r>
          </w:p>
        </w:tc>
      </w:tr>
      <w:tr w:rsidR="0099394D" w:rsidRPr="0099394D" w:rsidTr="006C5538">
        <w:trPr>
          <w:trHeight w:val="180"/>
        </w:trPr>
        <w:tc>
          <w:tcPr>
            <w:tcW w:w="19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плательщика:_________________________________________________________________________________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плательщика ________________________________№ лицевого счета плательщика ______________________</w:t>
            </w:r>
          </w:p>
        </w:tc>
      </w:tr>
      <w:tr w:rsidR="0099394D" w:rsidRPr="0099394D" w:rsidTr="006C5538">
        <w:trPr>
          <w:gridAfter w:val="16"/>
          <w:wAfter w:w="9104" w:type="dxa"/>
          <w:trHeight w:hRule="exact" w:val="113"/>
        </w:trPr>
        <w:tc>
          <w:tcPr>
            <w:tcW w:w="19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94D" w:rsidRPr="0099394D" w:rsidTr="006C5538">
        <w:trPr>
          <w:trHeight w:val="103"/>
        </w:trPr>
        <w:tc>
          <w:tcPr>
            <w:tcW w:w="19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 по сроку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налога (сбора)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Пеня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Штраф </w:t>
            </w:r>
          </w:p>
        </w:tc>
        <w:tc>
          <w:tcPr>
            <w:tcW w:w="18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к уплате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94D" w:rsidRPr="0099394D" w:rsidTr="006C5538">
        <w:trPr>
          <w:trHeight w:val="166"/>
        </w:trPr>
        <w:tc>
          <w:tcPr>
            <w:tcW w:w="19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94D" w:rsidRPr="0099394D" w:rsidTr="006C5538">
        <w:trPr>
          <w:trHeight w:val="340"/>
        </w:trPr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0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Плательщик (подпись) __________________                                                дата_____________________ 2021 год  </w:t>
            </w:r>
          </w:p>
          <w:p w:rsidR="0099394D" w:rsidRPr="0099394D" w:rsidRDefault="0099394D" w:rsidP="0099394D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99394D" w:rsidRPr="0099394D" w:rsidRDefault="0099394D" w:rsidP="0099394D">
      <w:pPr>
        <w:keepNext/>
        <w:suppressLineNumbers/>
        <w:suppressAutoHyphens/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1A586B" w:rsidRDefault="00DE2EA6"/>
    <w:p w:rsidR="00BA7F7C" w:rsidRDefault="00BA7F7C">
      <w:r>
        <w:t xml:space="preserve">ОКТМО Писаревский </w:t>
      </w:r>
      <w:proofErr w:type="spellStart"/>
      <w:r>
        <w:t>сс</w:t>
      </w:r>
      <w:proofErr w:type="spellEnd"/>
      <w:r>
        <w:t xml:space="preserve"> 80658455</w:t>
      </w:r>
    </w:p>
    <w:p w:rsidR="00BA7F7C" w:rsidRDefault="00BA7F7C">
      <w:r>
        <w:t xml:space="preserve">               </w:t>
      </w:r>
      <w:proofErr w:type="spellStart"/>
      <w:r>
        <w:t>Шаранский</w:t>
      </w:r>
      <w:proofErr w:type="spellEnd"/>
      <w:r>
        <w:t xml:space="preserve"> </w:t>
      </w:r>
      <w:proofErr w:type="spellStart"/>
      <w:r>
        <w:t>сс</w:t>
      </w:r>
      <w:proofErr w:type="spellEnd"/>
      <w:r>
        <w:t xml:space="preserve"> 80658485</w:t>
      </w:r>
    </w:p>
    <w:sectPr w:rsidR="00BA7F7C" w:rsidSect="0009218A">
      <w:pgSz w:w="11906" w:h="16838"/>
      <w:pgMar w:top="510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DC"/>
    <w:rsid w:val="00324137"/>
    <w:rsid w:val="00523B95"/>
    <w:rsid w:val="00682053"/>
    <w:rsid w:val="006D5971"/>
    <w:rsid w:val="0099394D"/>
    <w:rsid w:val="00A03636"/>
    <w:rsid w:val="00AF67DC"/>
    <w:rsid w:val="00BA7F7C"/>
    <w:rsid w:val="00C1070A"/>
    <w:rsid w:val="00D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3218</Words>
  <Characters>18349</Characters>
  <Application>Microsoft Office Word</Application>
  <DocSecurity>0</DocSecurity>
  <Lines>152</Lines>
  <Paragraphs>43</Paragraphs>
  <ScaleCrop>false</ScaleCrop>
  <Company>Microsoft Corp.</Company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Муфтахова Эльвира Ягьфаровна</dc:creator>
  <cp:keywords/>
  <dc:description/>
  <cp:lastModifiedBy>Муфтахова Эльвира Ягьфаровна</cp:lastModifiedBy>
  <cp:revision>8</cp:revision>
  <dcterms:created xsi:type="dcterms:W3CDTF">2021-08-10T04:52:00Z</dcterms:created>
  <dcterms:modified xsi:type="dcterms:W3CDTF">2021-08-10T06:45:00Z</dcterms:modified>
</cp:coreProperties>
</file>